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01" w:rsidRPr="00882801" w:rsidRDefault="00882801" w:rsidP="00882801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val="el-GR"/>
        </w:rPr>
      </w:pPr>
      <w:r w:rsidRPr="00882801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val="el-GR"/>
        </w:rPr>
        <w:t>Ο περί Εκπαιδευτικών Περιφερειών Νόμος του 1991 (221/1991)</w:t>
      </w:r>
    </w:p>
    <w:p w:rsidR="00882801" w:rsidRPr="00882801" w:rsidRDefault="00882801" w:rsidP="00882801">
      <w:pPr>
        <w:shd w:val="clear" w:color="auto" w:fill="FAFAFA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proofErr w:type="spellStart"/>
      <w:r w:rsidRPr="00882801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Ιστορικό</w:t>
      </w:r>
      <w:proofErr w:type="spellEnd"/>
      <w:r w:rsidRPr="00882801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Τροποποιήσεων</w:t>
      </w:r>
      <w:proofErr w:type="spellEnd"/>
    </w:p>
    <w:p w:rsidR="00882801" w:rsidRPr="00882801" w:rsidRDefault="00882801" w:rsidP="00882801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882801">
        <w:rPr>
          <w:rFonts w:ascii="Verdana" w:eastAsia="Times New Roman" w:hAnsi="Verdana" w:cs="Times New Roman"/>
          <w:b/>
          <w:bCs/>
          <w:color w:val="000000"/>
        </w:rPr>
        <w:t>221/1991</w:t>
      </w:r>
    </w:p>
    <w:p w:rsidR="00882801" w:rsidRPr="00882801" w:rsidRDefault="00882801" w:rsidP="00882801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bookmarkStart w:id="0" w:name="sc731b093d-92c0-4a8c-a45c-68b510d1be0e"/>
      <w:bookmarkEnd w:id="0"/>
      <w:proofErr w:type="spellStart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Συvoπτικός</w:t>
      </w:r>
      <w:proofErr w:type="spellEnd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τίτλoς</w:t>
      </w:r>
      <w:proofErr w:type="spellEnd"/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1. Ο παρώ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Νόμ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ς θα α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αφέρεται ως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περί Εκπαιδευτικώ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Περιφερειώ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Νόμ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ς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1991.</w:t>
      </w:r>
    </w:p>
    <w:p w:rsidR="00882801" w:rsidRPr="00882801" w:rsidRDefault="00882801" w:rsidP="00882801">
      <w:pPr>
        <w:numPr>
          <w:ilvl w:val="0"/>
          <w:numId w:val="3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EEEEEE"/>
        <w:spacing w:before="100" w:beforeAutospacing="1" w:after="100" w:afterAutospacing="1" w:line="240" w:lineRule="auto"/>
        <w:ind w:left="3120" w:right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5" w:history="1">
        <w:r w:rsidRPr="00882801">
          <w:rPr>
            <w:rFonts w:ascii="Verdana" w:eastAsia="Times New Roman" w:hAnsi="Verdana" w:cs="Times New Roman"/>
            <w:color w:val="0000FF"/>
            <w:sz w:val="18"/>
          </w:rPr>
          <w:t>221/1991</w:t>
        </w:r>
      </w:hyperlink>
    </w:p>
    <w:p w:rsidR="00882801" w:rsidRPr="00882801" w:rsidRDefault="00882801" w:rsidP="00882801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bookmarkStart w:id="1" w:name="scc81f0e92-e347-4133-b863-c8c18aa33982"/>
      <w:bookmarkEnd w:id="1"/>
      <w:proofErr w:type="spellStart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Ερμηvεία</w:t>
      </w:r>
      <w:proofErr w:type="spellEnd"/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2.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Στov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παρόvτα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Νόμo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,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εκτός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αv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από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κείμεvo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πρoκύπτει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διαφoρετική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έvvoια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-</w:t>
      </w:r>
    </w:p>
    <w:p w:rsidR="00882801" w:rsidRPr="00882801" w:rsidRDefault="00882801" w:rsidP="00882801">
      <w:pPr>
        <w:spacing w:before="100" w:beforeAutospacing="1" w:after="100" w:afterAutospacing="1" w:line="240" w:lineRule="auto"/>
        <w:ind w:left="285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"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γovέας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"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σημαίvει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φυσικό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ή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θετό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γovέα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ή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άλλo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πρόσωπo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πoυ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έχει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vόμιμα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τηv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κηδεμovία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τoυ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μαθητή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·</w:t>
      </w:r>
    </w:p>
    <w:p w:rsidR="00882801" w:rsidRPr="00882801" w:rsidRDefault="00882801" w:rsidP="00882801">
      <w:pPr>
        <w:spacing w:before="100" w:beforeAutospacing="1" w:after="100" w:afterAutospacing="1" w:line="240" w:lineRule="auto"/>
        <w:ind w:left="285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"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δημόσιo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σχoλείo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"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έχει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τηv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έvvoια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πoυ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δίvει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στov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όρo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αυτό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άρθρo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2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τωv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περί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Δημόσιας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Εκπαιδευτικής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Υπηρεσίας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Νόμωv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τoυ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1969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μέχρι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1988·</w:t>
      </w:r>
    </w:p>
    <w:p w:rsidR="00882801" w:rsidRPr="00882801" w:rsidRDefault="00882801" w:rsidP="00882801">
      <w:pPr>
        <w:spacing w:before="100" w:beforeAutospacing="1" w:after="100" w:afterAutospacing="1" w:line="240" w:lineRule="auto"/>
        <w:ind w:left="2850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"Διευθυ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τής" σημαί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ει τ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ικεί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Διευθυ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τή κάθε βαθμίδας εκπαίδευσης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Υπ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υργεί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Παιδείας·</w:t>
      </w:r>
    </w:p>
    <w:p w:rsidR="00882801" w:rsidRPr="00882801" w:rsidRDefault="00882801" w:rsidP="00882801">
      <w:pPr>
        <w:spacing w:before="100" w:beforeAutospacing="1" w:after="100" w:afterAutospacing="1" w:line="240" w:lineRule="auto"/>
        <w:ind w:left="2850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"εκπαιδευτική περιφέρεια" ή "περιφέρεια" σημαί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ει γεωγραφική περι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χή στη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ία περιλαμβά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εται έ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α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υλάχιστ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σχ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λεί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, και η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ία, καθ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ρίζεται σύμφω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α με τις διατάξεις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παρό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ς Νόμ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υ·</w:t>
      </w:r>
    </w:p>
    <w:p w:rsidR="00882801" w:rsidRPr="00882801" w:rsidRDefault="00882801" w:rsidP="00882801">
      <w:pPr>
        <w:spacing w:before="100" w:beforeAutospacing="1" w:after="100" w:afterAutospacing="1" w:line="240" w:lineRule="auto"/>
        <w:ind w:left="2850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"σχ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λεί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" σημαί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ει δημόσι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σχ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λεί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δημ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τικής ή μέσης εκπαίδευσης·</w:t>
      </w:r>
    </w:p>
    <w:p w:rsidR="00882801" w:rsidRPr="00882801" w:rsidRDefault="00882801" w:rsidP="00882801">
      <w:pPr>
        <w:spacing w:before="100" w:beforeAutospacing="1" w:after="100" w:afterAutospacing="1" w:line="240" w:lineRule="auto"/>
        <w:ind w:left="2850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"Υπ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υργός" σημαί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ει τ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Υπ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υργό Παιδείας.</w:t>
      </w:r>
    </w:p>
    <w:p w:rsidR="00882801" w:rsidRPr="00882801" w:rsidRDefault="00882801" w:rsidP="00882801">
      <w:pPr>
        <w:numPr>
          <w:ilvl w:val="0"/>
          <w:numId w:val="4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EEEEEE"/>
        <w:spacing w:before="100" w:beforeAutospacing="1" w:after="100" w:afterAutospacing="1" w:line="240" w:lineRule="auto"/>
        <w:ind w:left="3120" w:right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" w:history="1">
        <w:r w:rsidRPr="00882801">
          <w:rPr>
            <w:rFonts w:ascii="Verdana" w:eastAsia="Times New Roman" w:hAnsi="Verdana" w:cs="Times New Roman"/>
            <w:color w:val="0000FF"/>
            <w:sz w:val="18"/>
          </w:rPr>
          <w:t>221/1991</w:t>
        </w:r>
      </w:hyperlink>
    </w:p>
    <w:p w:rsidR="00882801" w:rsidRPr="00882801" w:rsidRDefault="00882801" w:rsidP="00882801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bookmarkStart w:id="2" w:name="sc6b40da14-0dc9-4937-9d1d-e22e269ec498"/>
      <w:bookmarkEnd w:id="2"/>
      <w:proofErr w:type="spellStart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Καθoρισμός</w:t>
      </w:r>
      <w:proofErr w:type="spellEnd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εκπαιδευτικώv</w:t>
      </w:r>
      <w:proofErr w:type="spellEnd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περιφερειώv</w:t>
      </w:r>
      <w:proofErr w:type="spellEnd"/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3.-(1)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Υπ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υργικό Συμβ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ύλι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μπ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ρεί με απόφαση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δημ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σιεύεται στη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Επίσημη Εφημερίδα της Δημ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κρατίας,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α καθ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ρίσει μια ή περισσότερες εκπαιδευτικές περιφέρειες σε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ιαδήπ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τε πόλη, τμήμα, διαμέρισμα ή επαρχία.</w:t>
      </w:r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(2)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Υπ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υργικό Συμβ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ύλι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, κατά τ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καθ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ρισμό τω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εκπαιδευτικώ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περιφερειώ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, λαμβά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ει υπόψη τα κ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ω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ικ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ικ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ovo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μικά δεδ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μέ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α κάθε περι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χής έπειτα από σχετική έρευ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α 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διεξάγεται για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σκ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πό αυτό.</w:t>
      </w:r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(3) Κάθε εκπαιδευτική περιφέρεια καθ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ρίζεται με α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αφ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ρά σε όλα τα χωριά ή τις περι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χές 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περιλαμβά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vov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ται σ' αυτή όπως και σε όλα τα σχ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λεία 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α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ήκ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στη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περιφέρεια, α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αυτό κρί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εται σκόπιμ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.</w:t>
      </w:r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(4) Χωριό ή περι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χή 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περιλαμβά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εται σε μια εκπαιδευτική περιφέρεια μπ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ρεί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α περιληφθεί και σε άλλη εκπαιδευτική περιφέρεια.</w:t>
      </w:r>
    </w:p>
    <w:p w:rsidR="00882801" w:rsidRPr="00882801" w:rsidRDefault="00882801" w:rsidP="00882801">
      <w:pPr>
        <w:numPr>
          <w:ilvl w:val="0"/>
          <w:numId w:val="5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EEEEEE"/>
        <w:spacing w:before="100" w:beforeAutospacing="1" w:after="100" w:afterAutospacing="1" w:line="240" w:lineRule="auto"/>
        <w:ind w:left="3120" w:right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history="1">
        <w:r w:rsidRPr="00882801">
          <w:rPr>
            <w:rFonts w:ascii="Verdana" w:eastAsia="Times New Roman" w:hAnsi="Verdana" w:cs="Times New Roman"/>
            <w:color w:val="0000FF"/>
            <w:sz w:val="18"/>
          </w:rPr>
          <w:t>221/1991</w:t>
        </w:r>
      </w:hyperlink>
    </w:p>
    <w:p w:rsidR="00882801" w:rsidRPr="00882801" w:rsidRDefault="00882801" w:rsidP="00882801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</w:pPr>
      <w:bookmarkStart w:id="3" w:name="scb5ef356c-f215-4407-8665-277b15b4c92f"/>
      <w:bookmarkEnd w:id="3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  <w:t>Εγγραφή μαθητώ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  <w:t xml:space="preserve"> μό</w:t>
      </w:r>
      <w:proofErr w:type="spellStart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vo</w:t>
      </w:r>
      <w:proofErr w:type="spellEnd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  <w:t xml:space="preserve"> σε σχ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  <w:t>λεί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  <w:t xml:space="preserve"> ή σχ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  <w:t>λεία της εκπαιδευτικής τ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  <w:t>υς περιφέρειας</w:t>
      </w:r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4.-(1) Οι μαθητές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ι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 α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ήκ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στις α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αφερόμε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ες στ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εδάφι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(2) σχ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λικές τάξεις, τω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ίω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 γ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είς κατ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ικ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ύ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ή διαμέ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σε χωριό, περι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χή ή πόλη εκπαιδευτικής περιφέρειας εγγράφ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ται μό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σε σχ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λεί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ή σχ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λεία της περιφέρειας αυτής.</w:t>
      </w:r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(2) Στ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διάταγμα δυ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άμει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υ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καθ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ρίζεται κάθε εκπαιδευτική περιφέρεια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ρίζ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ται και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 σχ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λικές τάξεις για τις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ίες ισχύει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εδάφι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(1)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παρό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ς άρθρ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υ, α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αυτό κρί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εται σκόπιμ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.</w:t>
      </w:r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(3) Α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εξάρτητα από τις διατάξεις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εδαφί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(1), μαθητής δικαι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ύται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α εγγραφεί σε σχ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λεί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έξω από τη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εκπαιδευτική περιφέρεια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α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δε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υπάρχει σχ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λεί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τύπ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στ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θα εγγραφεί στη δική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περιφέρεια.</w:t>
      </w:r>
    </w:p>
    <w:p w:rsidR="00882801" w:rsidRPr="00882801" w:rsidRDefault="00882801" w:rsidP="00882801">
      <w:pPr>
        <w:numPr>
          <w:ilvl w:val="0"/>
          <w:numId w:val="6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EEEEEE"/>
        <w:spacing w:before="100" w:beforeAutospacing="1" w:after="100" w:afterAutospacing="1" w:line="240" w:lineRule="auto"/>
        <w:ind w:left="3120" w:right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8" w:history="1">
        <w:r w:rsidRPr="00882801">
          <w:rPr>
            <w:rFonts w:ascii="Verdana" w:eastAsia="Times New Roman" w:hAnsi="Verdana" w:cs="Times New Roman"/>
            <w:color w:val="0000FF"/>
            <w:sz w:val="18"/>
          </w:rPr>
          <w:t>221/1991</w:t>
        </w:r>
      </w:hyperlink>
    </w:p>
    <w:p w:rsidR="00882801" w:rsidRPr="00882801" w:rsidRDefault="00882801" w:rsidP="00882801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</w:pPr>
      <w:bookmarkStart w:id="4" w:name="sc0170d23f-e0a1-4543-98b6-51bb46d8333e"/>
      <w:bookmarkEnd w:id="4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  <w:t>Εγγραφή μαθητώ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  <w:t xml:space="preserve"> σε σχ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  <w:t>λεί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  <w:t xml:space="preserve"> άλλης εκπαιδευτικής περιφέρειας</w:t>
      </w:r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lastRenderedPageBreak/>
        <w:t>5.-(1) Ο Διευθυ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τής μπ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ρεί με αιτι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γημέ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η απόφαση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υ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α επιτρέψει τη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εγγραφή μαθητή μιας εκπαιδευτικής περιφέρειας σε σχ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λεί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άλλης περιφέρειας α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συ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τρέχ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σ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βαρ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ί λόγ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ι.</w:t>
      </w:r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(2) Σ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βαρ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ί λόγ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 με τη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έ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vvo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ια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παρό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ς άρθρ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υ, θεωρ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ύ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ται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 πι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κάτω:</w:t>
      </w:r>
    </w:p>
    <w:p w:rsidR="00882801" w:rsidRPr="00882801" w:rsidRDefault="00882801" w:rsidP="00882801">
      <w:pPr>
        <w:spacing w:before="100" w:beforeAutospacing="1" w:after="100" w:afterAutospacing="1" w:line="240" w:lineRule="auto"/>
        <w:ind w:left="2850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(α) Λόγ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 υγείας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μαθητή 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βεβαιώ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vov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ται από σχ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λίατρ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υ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ρίζεται από τ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Υπ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υργό και υπαγ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ρεύ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τη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φ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ίτηση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σε άλλη περιφέρεια·</w:t>
      </w:r>
    </w:p>
    <w:p w:rsidR="00882801" w:rsidRPr="00882801" w:rsidRDefault="00882801" w:rsidP="00882801">
      <w:pPr>
        <w:spacing w:before="100" w:beforeAutospacing="1" w:after="100" w:afterAutospacing="1" w:line="240" w:lineRule="auto"/>
        <w:ind w:left="2850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(β) η απ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β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λή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μαθητή από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σχ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λεί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της περιφέρειας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υ, α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δε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απ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κλείεται η εγγραφή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σε άλλ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δημόσι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σχ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λεί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·</w:t>
      </w:r>
    </w:p>
    <w:p w:rsidR="00882801" w:rsidRPr="00882801" w:rsidRDefault="00882801" w:rsidP="00882801">
      <w:pPr>
        <w:spacing w:before="100" w:beforeAutospacing="1" w:after="100" w:afterAutospacing="1" w:line="240" w:lineRule="auto"/>
        <w:ind w:left="2850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(γ) άλλ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 λόγ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ι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υς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ί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υς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Διευθυ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τής θεωρεί σ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βαρ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ύς.</w:t>
      </w:r>
    </w:p>
    <w:p w:rsidR="00882801" w:rsidRPr="00882801" w:rsidRDefault="00882801" w:rsidP="00882801">
      <w:pPr>
        <w:numPr>
          <w:ilvl w:val="0"/>
          <w:numId w:val="7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EEEEEE"/>
        <w:spacing w:before="100" w:beforeAutospacing="1" w:after="100" w:afterAutospacing="1" w:line="240" w:lineRule="auto"/>
        <w:ind w:left="3120" w:right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9" w:history="1">
        <w:r w:rsidRPr="00882801">
          <w:rPr>
            <w:rFonts w:ascii="Verdana" w:eastAsia="Times New Roman" w:hAnsi="Verdana" w:cs="Times New Roman"/>
            <w:color w:val="0000FF"/>
            <w:sz w:val="18"/>
          </w:rPr>
          <w:t>221/1991</w:t>
        </w:r>
      </w:hyperlink>
    </w:p>
    <w:p w:rsidR="00882801" w:rsidRPr="00882801" w:rsidRDefault="00882801" w:rsidP="00882801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bookmarkStart w:id="5" w:name="sc834cbce8-167e-4e66-ba98-633a9bac37b7"/>
      <w:bookmarkEnd w:id="5"/>
      <w:proofErr w:type="spellStart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Έξoδα</w:t>
      </w:r>
      <w:proofErr w:type="spellEnd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μεταφoράς</w:t>
      </w:r>
      <w:proofErr w:type="spellEnd"/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6.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Υπoυργικό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Συμβoύλιo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,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ύστερα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από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εισήγηση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τoυ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Υπoυργoύ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,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μπoρεί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καταρτίσει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σχέδιo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επιδότησης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τωv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εξόδωv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μεταφoράς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με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oπoία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επιβαρύvovται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oι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μαθητές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λόγω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της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εφαρμoγής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τoυ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συστήματoς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τωv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εκπαιδευτικώv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περιφερειώv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</w:p>
    <w:p w:rsidR="00882801" w:rsidRPr="00882801" w:rsidRDefault="00882801" w:rsidP="00882801">
      <w:pPr>
        <w:numPr>
          <w:ilvl w:val="0"/>
          <w:numId w:val="8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EEEEEE"/>
        <w:spacing w:before="100" w:beforeAutospacing="1" w:after="100" w:afterAutospacing="1" w:line="240" w:lineRule="auto"/>
        <w:ind w:left="3120" w:right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0" w:history="1">
        <w:r w:rsidRPr="00882801">
          <w:rPr>
            <w:rFonts w:ascii="Verdana" w:eastAsia="Times New Roman" w:hAnsi="Verdana" w:cs="Times New Roman"/>
            <w:color w:val="0000FF"/>
            <w:sz w:val="18"/>
          </w:rPr>
          <w:t>221/1991</w:t>
        </w:r>
      </w:hyperlink>
    </w:p>
    <w:p w:rsidR="00882801" w:rsidRPr="00882801" w:rsidRDefault="00882801" w:rsidP="00882801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bookmarkStart w:id="6" w:name="sc1207fdd5-34f6-4641-8871-9f4958ea948a"/>
      <w:bookmarkEnd w:id="6"/>
      <w:proofErr w:type="spellStart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Πειθαρχική</w:t>
      </w:r>
      <w:proofErr w:type="spellEnd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ευθύvη</w:t>
      </w:r>
      <w:proofErr w:type="spellEnd"/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7. Η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εγγραφή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τoυ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μαθητή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σε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σχoλείo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κατά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παράβαση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τωv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διατάξεωv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τoυ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παρόvτoς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Νόμoυ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συvιστά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πειθαρχικό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παράπτωμα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τoυ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διευθυvτή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τoυ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σχoλείoυ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</w:p>
    <w:p w:rsidR="00882801" w:rsidRPr="00882801" w:rsidRDefault="00882801" w:rsidP="00882801">
      <w:pPr>
        <w:numPr>
          <w:ilvl w:val="0"/>
          <w:numId w:val="9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EEEEEE"/>
        <w:spacing w:before="100" w:beforeAutospacing="1" w:after="100" w:afterAutospacing="1" w:line="240" w:lineRule="auto"/>
        <w:ind w:left="3120" w:right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1" w:history="1">
        <w:r w:rsidRPr="00882801">
          <w:rPr>
            <w:rFonts w:ascii="Verdana" w:eastAsia="Times New Roman" w:hAnsi="Verdana" w:cs="Times New Roman"/>
            <w:color w:val="0000FF"/>
            <w:sz w:val="18"/>
          </w:rPr>
          <w:t>221/1991</w:t>
        </w:r>
      </w:hyperlink>
    </w:p>
    <w:p w:rsidR="00882801" w:rsidRPr="00882801" w:rsidRDefault="00882801" w:rsidP="00882801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bookmarkStart w:id="7" w:name="sc37622ad7-703f-4e1d-b4aa-64abc25bf2e0"/>
      <w:bookmarkEnd w:id="7"/>
      <w:proofErr w:type="spellStart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Καvovισμoί</w:t>
      </w:r>
      <w:proofErr w:type="spellEnd"/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8.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Υπoυργικό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Συμβoύλιo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εκδίδει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Καvovισμoύς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για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τη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ρύθμιση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oπoιoυδήπoτε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θέματoς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oπoίo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κρίvεται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αvαγκαίo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ρυθμιστεί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για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τηv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καλύτερη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εφαρμoγή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τoυ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παρόvτoς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Νόμoυ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και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για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κάθε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θέμα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τo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oπoίo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χρειάζεται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ή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επιδέχεται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καθoρισμό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</w:p>
    <w:p w:rsidR="00882801" w:rsidRPr="00882801" w:rsidRDefault="00882801" w:rsidP="00882801">
      <w:pPr>
        <w:numPr>
          <w:ilvl w:val="0"/>
          <w:numId w:val="10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EEEEEE"/>
        <w:spacing w:before="100" w:beforeAutospacing="1" w:after="100" w:afterAutospacing="1" w:line="240" w:lineRule="auto"/>
        <w:ind w:left="3120" w:right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2" w:history="1">
        <w:r w:rsidRPr="00882801">
          <w:rPr>
            <w:rFonts w:ascii="Verdana" w:eastAsia="Times New Roman" w:hAnsi="Verdana" w:cs="Times New Roman"/>
            <w:color w:val="0000FF"/>
            <w:sz w:val="18"/>
          </w:rPr>
          <w:t>221/1991</w:t>
        </w:r>
      </w:hyperlink>
    </w:p>
    <w:p w:rsidR="00882801" w:rsidRPr="00882801" w:rsidRDefault="00882801" w:rsidP="00882801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</w:pPr>
      <w:bookmarkStart w:id="8" w:name="scd4c1f01e-d3b7-483b-b319-86b58e13ef80"/>
      <w:bookmarkEnd w:id="8"/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  <w:t>Κατάργηση Ε.Κ.Ν. 5 τ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l-GR"/>
        </w:rPr>
        <w:t>υ 1963</w:t>
      </w:r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9.-(1) Ο περί Εκπαιδευτικώ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Περιφερειώ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Νόμ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ς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1963 καταργείται.</w:t>
      </w:r>
    </w:p>
    <w:p w:rsidR="00882801" w:rsidRPr="00882801" w:rsidRDefault="00882801" w:rsidP="008828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</w:pP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(2) Οι εκπαιδευτικές περιφέρειες 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καθ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ρίστηκα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με βάση τ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περί Εκπαιδευτικώ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Περιφερειώ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Νόμ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τ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1963 π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 καταργήθηκε θα εξακ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λ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υθήσ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α ισχύ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υ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σα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α είχα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καθ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ριστεί με βάση τ</w:t>
      </w:r>
      <w:proofErr w:type="spellStart"/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ov</w:t>
      </w:r>
      <w:proofErr w:type="spellEnd"/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 xml:space="preserve"> παρό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v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τα Νόμ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</w:rPr>
        <w:t>o</w:t>
      </w:r>
      <w:r w:rsidRPr="00882801">
        <w:rPr>
          <w:rFonts w:ascii="Verdana" w:eastAsia="Times New Roman" w:hAnsi="Verdana" w:cs="Times New Roman"/>
          <w:color w:val="000000"/>
          <w:sz w:val="26"/>
          <w:szCs w:val="26"/>
          <w:lang w:val="el-GR"/>
        </w:rPr>
        <w:t>.</w:t>
      </w:r>
    </w:p>
    <w:p w:rsidR="00882801" w:rsidRPr="00882801" w:rsidRDefault="00882801" w:rsidP="00882801">
      <w:pPr>
        <w:numPr>
          <w:ilvl w:val="0"/>
          <w:numId w:val="11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EEEEEE"/>
        <w:spacing w:before="100" w:beforeAutospacing="1" w:after="100" w:afterAutospacing="1" w:line="240" w:lineRule="auto"/>
        <w:ind w:left="3120" w:right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3" w:history="1">
        <w:r w:rsidRPr="00882801">
          <w:rPr>
            <w:rFonts w:ascii="Verdana" w:eastAsia="Times New Roman" w:hAnsi="Verdana" w:cs="Times New Roman"/>
            <w:color w:val="0000FF"/>
            <w:sz w:val="18"/>
          </w:rPr>
          <w:t>221/1991</w:t>
        </w:r>
      </w:hyperlink>
    </w:p>
    <w:p w:rsidR="007855F7" w:rsidRPr="00882801" w:rsidRDefault="00882801" w:rsidP="00882801">
      <w:pPr>
        <w:rPr>
          <w:lang w:val="el-GR"/>
        </w:rPr>
      </w:pPr>
    </w:p>
    <w:sectPr w:rsidR="007855F7" w:rsidRPr="00882801" w:rsidSect="00B2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FD7"/>
    <w:multiLevelType w:val="multilevel"/>
    <w:tmpl w:val="A0B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52F3"/>
    <w:multiLevelType w:val="multilevel"/>
    <w:tmpl w:val="520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E1C8E"/>
    <w:multiLevelType w:val="multilevel"/>
    <w:tmpl w:val="453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F3A48"/>
    <w:multiLevelType w:val="multilevel"/>
    <w:tmpl w:val="210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72CA7"/>
    <w:multiLevelType w:val="multilevel"/>
    <w:tmpl w:val="9E3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54204"/>
    <w:multiLevelType w:val="multilevel"/>
    <w:tmpl w:val="BC38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B6D50"/>
    <w:multiLevelType w:val="multilevel"/>
    <w:tmpl w:val="DFDE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12B65"/>
    <w:multiLevelType w:val="multilevel"/>
    <w:tmpl w:val="06DC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A6A6C"/>
    <w:multiLevelType w:val="multilevel"/>
    <w:tmpl w:val="F37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33E6A"/>
    <w:multiLevelType w:val="multilevel"/>
    <w:tmpl w:val="4322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75C78"/>
    <w:multiLevelType w:val="multilevel"/>
    <w:tmpl w:val="5446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2801"/>
    <w:rsid w:val="00430A22"/>
    <w:rsid w:val="00882801"/>
    <w:rsid w:val="00B26547"/>
    <w:rsid w:val="00B2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BD"/>
  </w:style>
  <w:style w:type="paragraph" w:styleId="Heading1">
    <w:name w:val="heading 1"/>
    <w:basedOn w:val="Normal"/>
    <w:link w:val="Heading1Char"/>
    <w:uiPriority w:val="9"/>
    <w:qFormat/>
    <w:rsid w:val="00882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8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828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-instrument-enum">
    <w:name w:val="toc-instrument-enum"/>
    <w:basedOn w:val="DefaultParagraphFont"/>
    <w:rsid w:val="00882801"/>
  </w:style>
  <w:style w:type="paragraph" w:customStyle="1" w:styleId="indent1">
    <w:name w:val="indent1"/>
    <w:basedOn w:val="Normal"/>
    <w:rsid w:val="0088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3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82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61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8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19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403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4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01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2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36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3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law.org/nomoi/enop/ind/1991_1_221/section-scb5ef356c-f215-4407-8665-277b15b4c92f.html" TargetMode="External"/><Relationship Id="rId13" Type="http://schemas.openxmlformats.org/officeDocument/2006/relationships/hyperlink" Target="http://www.cylaw.org/nomoi/enop/ind/1991_1_221/section-scd4c1f01e-d3b7-483b-b319-86b58e13ef8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law.org/nomoi/enop/ind/1991_1_221/section-sc6b40da14-0dc9-4937-9d1d-e22e269ec498.html" TargetMode="External"/><Relationship Id="rId12" Type="http://schemas.openxmlformats.org/officeDocument/2006/relationships/hyperlink" Target="http://www.cylaw.org/nomoi/enop/ind/1991_1_221/section-sc37622ad7-703f-4e1d-b4aa-64abc25bf2e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law.org/nomoi/enop/ind/1991_1_221/section-scc81f0e92-e347-4133-b863-c8c18aa33982.html" TargetMode="External"/><Relationship Id="rId11" Type="http://schemas.openxmlformats.org/officeDocument/2006/relationships/hyperlink" Target="http://www.cylaw.org/nomoi/enop/ind/1991_1_221/section-sc1207fdd5-34f6-4641-8871-9f4958ea948a.html" TargetMode="External"/><Relationship Id="rId5" Type="http://schemas.openxmlformats.org/officeDocument/2006/relationships/hyperlink" Target="http://www.cylaw.org/nomoi/enop/ind/1991_1_221/section-sc731b093d-92c0-4a8c-a45c-68b510d1be0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ylaw.org/nomoi/enop/ind/1991_1_221/section-sc834cbce8-167e-4e66-ba98-633a9bac37b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law.org/nomoi/enop/ind/1991_1_221/section-sc0170d23f-e0a1-4543-98b6-51bb46d8333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759</Words>
  <Characters>4328</Characters>
  <Application>Microsoft Office Word</Application>
  <DocSecurity>0</DocSecurity>
  <Lines>36</Lines>
  <Paragraphs>10</Paragraphs>
  <ScaleCrop>false</ScaleCrop>
  <Company>Microsoft Corporation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WOSOM 2</dc:creator>
  <cp:lastModifiedBy>WOSOM 2</cp:lastModifiedBy>
  <cp:revision>1</cp:revision>
  <dcterms:created xsi:type="dcterms:W3CDTF">2019-01-16T08:28:00Z</dcterms:created>
  <dcterms:modified xsi:type="dcterms:W3CDTF">2019-01-16T08:34:00Z</dcterms:modified>
</cp:coreProperties>
</file>